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黑体" w:eastAsia="黑体" w:cs="黑体" w:hint="eastAsia"/>
          <w:i w:val="0"/>
          <w:caps w:val="0"/>
          <w:smallCaps w:val="0"/>
          <w:color w:val="070707"/>
          <w:spacing w:val="0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i w:val="0"/>
          <w:caps w:val="0"/>
          <w:smallCaps w:val="0"/>
          <w:color w:val="070707"/>
          <w:spacing w:val="0"/>
          <w:sz w:val="32"/>
          <w:szCs w:val="32"/>
          <w:lang w:val="en-US" w:eastAsia="zh-CN"/>
        </w:rPr>
        <w:t>附件1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/>
        <w:ind w:left="0" w:right="0" w:firstLine="0"/>
        <w:jc w:val="center"/>
        <w:textAlignment w:val="auto"/>
        <w:rPr>
          <w:rStyle w:val="87"/>
          <w:rFonts w:ascii="方正小标宋_GBK" w:eastAsia="方正小标宋_GBK" w:cs="方正小标宋_GBK" w:hint="eastAsia"/>
          <w:b w:val="0"/>
          <w:bCs/>
          <w:i w:val="0"/>
          <w:caps w:val="0"/>
          <w:smallCaps w:val="0"/>
          <w:color w:val="000000"/>
          <w:spacing w:val="0"/>
          <w:sz w:val="44"/>
          <w:szCs w:val="44"/>
          <w:lang w:eastAsia="zh-CN"/>
          <w:highlight w:val="auto"/>
        </w:rPr>
      </w:pP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/>
        <w:ind w:left="0" w:right="0" w:firstLine="0"/>
        <w:jc w:val="center"/>
        <w:textAlignment w:val="auto"/>
        <w:rPr>
          <w:rStyle w:val="87"/>
          <w:rFonts w:ascii="方正小标宋_GBK" w:eastAsia="方正小标宋_GBK" w:cs="方正小标宋_GBK" w:hint="eastAsia"/>
          <w:b w:val="0"/>
          <w:bCs/>
          <w:i w:val="0"/>
          <w:caps w:val="0"/>
          <w:smallCaps w:val="0"/>
          <w:color w:val="000000"/>
          <w:spacing w:val="0"/>
          <w:sz w:val="44"/>
          <w:szCs w:val="44"/>
          <w:highlight w:val="auto"/>
        </w:rPr>
      </w:pPr>
      <w:r>
        <w:rPr>
          <w:rStyle w:val="87"/>
          <w:rFonts w:ascii="方正小标宋_GBK" w:eastAsia="方正小标宋_GBK" w:cs="方正小标宋_GBK" w:hint="eastAsia"/>
          <w:b w:val="0"/>
          <w:bCs/>
          <w:i w:val="0"/>
          <w:caps w:val="0"/>
          <w:smallCaps w:val="0"/>
          <w:color w:val="000000"/>
          <w:spacing w:val="0"/>
          <w:sz w:val="44"/>
          <w:szCs w:val="44"/>
          <w:lang w:eastAsia="zh-CN"/>
          <w:highlight w:val="auto"/>
        </w:rPr>
        <w:t>吉林省</w:t>
      </w:r>
      <w:r>
        <w:rPr>
          <w:rStyle w:val="87"/>
          <w:rFonts w:ascii="方正小标宋_GBK" w:eastAsia="方正小标宋_GBK" w:cs="方正小标宋_GBK" w:hint="eastAsia"/>
          <w:b w:val="0"/>
          <w:bCs/>
          <w:i w:val="0"/>
          <w:caps w:val="0"/>
          <w:smallCaps w:val="0"/>
          <w:color w:val="000000"/>
          <w:spacing w:val="0"/>
          <w:sz w:val="44"/>
          <w:szCs w:val="44"/>
          <w:highlight w:val="auto"/>
        </w:rPr>
        <w:t>制造业单项冠军企业认定管理办法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/>
        <w:ind w:left="0" w:right="0" w:firstLine="0"/>
        <w:jc w:val="center"/>
        <w:textAlignment w:val="auto"/>
        <w:rPr>
          <w:rStyle w:val="87"/>
          <w:rFonts w:ascii="方正小标宋_GBK" w:eastAsia="方正小标宋_GBK" w:cs="方正小标宋_GBK" w:hint="eastAsia"/>
          <w:b w:val="0"/>
          <w:bCs/>
          <w:i w:val="0"/>
          <w:caps w:val="0"/>
          <w:smallCaps w:val="0"/>
          <w:color w:val="000000"/>
          <w:spacing w:val="0"/>
          <w:sz w:val="44"/>
          <w:szCs w:val="44"/>
          <w:lang w:eastAsia="zh-CN"/>
          <w:highlight w:val="auto"/>
        </w:rPr>
      </w:pPr>
      <w:r>
        <w:rPr>
          <w:rStyle w:val="87"/>
          <w:rFonts w:ascii="方正小标宋_GBK" w:eastAsia="方正小标宋_GBK" w:cs="方正小标宋_GBK" w:hint="eastAsia"/>
          <w:b w:val="0"/>
          <w:bCs/>
          <w:i w:val="0"/>
          <w:caps w:val="0"/>
          <w:smallCaps w:val="0"/>
          <w:color w:val="000000"/>
          <w:spacing w:val="0"/>
          <w:sz w:val="44"/>
          <w:szCs w:val="44"/>
          <w:lang w:eastAsia="zh-CN"/>
          <w:highlight w:val="auto"/>
        </w:rPr>
        <w:t>（征求意见稿）</w:t>
      </w:r>
    </w:p>
    <w:p>
      <w:pPr>
        <w:pStyle w:val="9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Autospacing="0" w:after="157" w:afterAutospacing="0" w:line="420" w:lineRule="atLeast"/>
        <w:ind w:right="0"/>
        <w:jc w:val="center"/>
        <w:textAlignment w:val="auto"/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</w:t>
      </w: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总则</w:t>
      </w:r>
    </w:p>
    <w:p>
      <w:pPr>
        <w:keepNext w:val="0"/>
        <w:keepLines w:val="0"/>
        <w:widowControl/>
        <w:suppressLineNumbers w:val="0"/>
        <w:suppressAutoHyphens/>
        <w:ind w:firstLineChars="200" w:firstLine="640"/>
        <w:jc w:val="left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green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  <w:highlight w:val="auto"/>
        </w:rPr>
        <w:t xml:space="preserve">第一条 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为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深入贯彻党中央、国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务院关于大力培育优质企业的决策部署，助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力加快推进我省制造强省和新型工业化建设，引导“专精特新”等重点企业聚焦细分</w:t>
      </w:r>
      <w:r>
        <w:rPr>
          <w:rFonts w:ascii="仿宋_GB2312" w:eastAsia="仿宋_GB2312" w:cs="仿宋_GB2312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领域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和产业链关键环节，深耕细作，创新发展，提升产业链供应链韧性和安全水平，根据工业和信息化部等印发的《关于加快培育发展制造业优质企业的指导意见》《制造业单项冠军企业认定管理办法》，制定本办法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第二条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  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吉林省制造业单项冠军企业（以下简称“省单项冠军”）是指长期专注于制造业特定细分领域，生产技术或工艺水平达到国际先进或国内领先水平，单项产品（生产性服务）市场占有率位居全国或者全球前列的企业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第三条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 xml:space="preserve">  </w:t>
      </w:r>
      <w:r>
        <w:rPr>
          <w:rFonts w:ascii="仿宋_GB2312" w:eastAsia="仿宋_GB2312" w:cs="仿宋_GB2312" w:hint="eastAsia"/>
          <w:b/>
          <w:bCs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省单项冠军的申报单位应具备工业产品研发、设计和生产制造能力的制造业企业或从事生产性服务业的企业。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企业未产生损害国家利益和人民利益的行为，未被列入经营异常名录或严重失信主体名单，提供的产品不属于国家禁止、限制或淘汰类。近3年未发生重大安全（含网络安全、数据安全、安全保密）、质量、环境污染等事故以及偷税漏税、数据造假等违法违规行为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第四条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 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吉林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省工业和信息化厅（以下简称“省工信厅”）负责省单项冠军认定的组织申报、评价管理、相关政策制定和国家单项冠军培育等工作。各市（州）工业和信息化局（以下简称“市（州）工信局”）根据本办法，负责组织本地区省单项冠军的培育、推荐和管理工作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第五条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  省工信厅建立健全省单项冠军“有进有出”的动态管理机制和认定评价体系。各级工信部门要强化梯度培育和管理服务，加大扶持力度，支持“专精特新”小巨人等优质企业快速成长，推动单项冠军数量持续增长、质量稳步提升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第六条 </w:t>
      </w:r>
      <w:r>
        <w:rPr>
          <w:rFonts w:ascii="仿宋_GB2312" w:eastAsia="仿宋_GB2312" w:cs="仿宋_GB2312" w:hint="eastAsia"/>
          <w:b/>
          <w:bCs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 xml:space="preserve"> 省工信厅建立制造业单项冠军企业数据库，对省级和国家级单项冠军企业实施入库管理，加强对企业的服务对接和扶持力度。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各市（州）工信局对本地区入库企业加强跟踪服务和运行监测分析。</w:t>
      </w:r>
    </w:p>
    <w:p>
      <w:pPr>
        <w:pStyle w:val="9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Autospacing="0" w:after="157" w:afterAutospacing="0" w:line="420" w:lineRule="atLeast"/>
        <w:ind w:right="0"/>
        <w:jc w:val="center"/>
        <w:textAlignment w:val="auto"/>
        <w:rPr>
          <w:rFonts w:ascii="黑体" w:eastAsia="黑体" w:cs="黑体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第二章 认定程序和标准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第七条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 省工信厅根据国家和省重大战略、重大工程和制造业发展实际，适时更新省级单项冠军认定领域。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省单项冠军认定工作坚持企业自愿、政策引领、培育促进、公开透明的原则，统筹开展、有序推进。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第八条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 省工信厅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按照省制造业单项冠军企业认定标准（见附件1），对申报企业从专业发展、市场竞争、创新能力、经营管理等方面评价认定。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第九条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　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>省级单项冠军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认定工作原则上每年组织一次。认定程序包括三个环节。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CESI楷体-GB13000" w:eastAsia="CESI楷体-GB13000" w:cs="CESI楷体-GB13000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（一）企业申请。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符合条件的企业，按照年度申报通知要求，经自评估后，自愿向所在地市（州）工信局提出申请，如实填写申报材料，并对资料的真实性和完整性负全部责任。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CESI楷体-GB13000" w:eastAsia="CESI楷体-GB13000" w:cs="CESI楷体-GB13000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（二）核查推荐。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市（州）工信局根据认定标准和通知要求，对企业申报材料和相关佐证材料进行核查和初审，择优推荐至省工信厅。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CESI楷体-GB13000" w:eastAsia="CESI楷体-GB13000" w:cs="CESI楷体-GB13000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（三）论证认定。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省工信厅组织第三方机构或专家组对被推荐企业进行评审、论证，必要时进行实地抽查，形成公示企业名单，在省工信厅官方网站进行公示，公示期为7个工作日。经公示无异议后，认定为省级单项冠军，并颁发证书(标注产品名称）。　</w:t>
      </w:r>
    </w:p>
    <w:p>
      <w:pPr>
        <w:pStyle w:val="9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Autospacing="0" w:after="157" w:afterAutospacing="0" w:line="420" w:lineRule="atLeast"/>
        <w:ind w:right="0"/>
        <w:jc w:val="center"/>
        <w:textAlignment w:val="auto"/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第三章 动态管理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第十条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　省单项冠军证书有效期为3年，到期后由省工信厅组织复核（含实地抽查），复核通过的有效期延长3年，并重新颁发证书。未通过复核的企业不颁发证书，并从省单项冠军企业库中移出。复核程序和标准参照认定程序和标准执行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第十一条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 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有效期内的省单项冠军应在每年5月31日前，按相关要求更新企业信息，经提示仍未更新的取消复核资格。各市</w:t>
      </w:r>
      <w:r>
        <w:rPr>
          <w:rFonts w:ascii="仿宋_GB2312" w:eastAsia="仿宋_GB2312" w:cs="仿宋_GB2312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>(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>州</w:t>
      </w:r>
      <w:r>
        <w:rPr>
          <w:rFonts w:ascii="仿宋_GB2312" w:eastAsia="仿宋_GB2312" w:cs="仿宋_GB2312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>)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工信局应关注和掌握属地省单项冠军发展动态和成长等情况，并于每年6月15日前将上一年度企业年度发展报告、本地扶持企业发展的有关情况报省工信厅。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第十二条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 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有效期内的省单项冠军，若发生更名、分立、合并、重组等与认定条件有关的重大变化，应在发生变化后的3个月内，将相关情况经市（州）工信局核实后报省工信厅。不再符合认定标准的或经提示仍未按期报告有关情况的撤销认定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第十三条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 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有效期内的省单项冠军，若发生重大安全（含网络安全、数据安全、安全保密）、质量、环境污染等事故，或严重失信、偷税漏税等违法违规行为，或被发现存在数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据造假等情形，经核实后撤销认定，3年内不得再次申报。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第十四条</w:t>
      </w: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任何组织和个人可对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省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单项冠军相关信息的真实性、准确性等问题，向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省工信厅实名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举报，并提供佐证材料和联系方式。对受理的举报内容，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省工信厅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将及时向被举报企业核实，被举报企业未按要求回复或经核实确认该企业存在弄虚作假行为的，视情节轻重要求企业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进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行整改，或撤销认定。</w:t>
      </w:r>
    </w:p>
    <w:p>
      <w:pPr>
        <w:pStyle w:val="9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Autospacing="0" w:after="157" w:afterAutospacing="0" w:line="420" w:lineRule="atLeast"/>
        <w:ind w:right="0"/>
        <w:jc w:val="center"/>
        <w:textAlignment w:val="auto"/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第四章 培育服务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hint="eastAsia"/>
          <w:bCs/>
          <w:sz w:val="32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第十五条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 各级工信部门应</w:t>
      </w:r>
      <w:r>
        <w:rPr>
          <w:rFonts w:ascii="仿宋_GB2312" w:eastAsia="仿宋_GB2312" w:hint="eastAsia"/>
          <w:bCs/>
          <w:sz w:val="32"/>
          <w:lang w:val="en-US" w:eastAsia="zh-CN"/>
          <w:highlight w:val="auto"/>
        </w:rPr>
        <w:t>建立完善“企业直通车”常态化联系机制，及时掌握单项冠军企业诉求，指导用好各项惠企政策。帮助企业协调解决土地、用工、用能等问题，提高政策精准性和有效性。</w:t>
      </w:r>
      <w:r>
        <w:rPr>
          <w:rFonts w:ascii="仿宋_GB2312" w:eastAsia="仿宋_GB2312" w:hint="eastAsia"/>
          <w:bCs/>
          <w:sz w:val="32"/>
          <w:lang w:eastAsia="zh-CN"/>
          <w:highlight w:val="auto"/>
        </w:rPr>
        <w:t>指导企业实施培育提升，组织专家开展培育提升诊断咨询等服务，助力企业在细分市场做专做优做强。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第十六条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 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支持单项冠军创新发展，参与制造业创新中心、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企业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技术中心、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工业设计中心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等创新平台建设，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支持引导企业持续强化研发投入，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承担国家及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省、市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重大科技项目。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鼓励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单项冠军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企业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开展协同创新，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整合优质资源和力量，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加大基础零部件、基础电子元器件、基础软件、基础材料、基础工艺、高端仪器设备、集成电路、网络安全等领域关键核心技术、产品、装备攻关和示范应用。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第十七条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 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加强融资能力建设和上市培育，支持符合条件的单项冠军在资本市场上市融资和发行债券。鼓励引进、培养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科技型创新领军人才、经营管理人才和高水平技术技能人才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，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积极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推进产教融合、校企合作，打造人才培养特色载体，不断提升人才集聚能力和培养水平。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 </w:t>
      </w: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第十八条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 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支持单项冠军数字化、绿色化转型发展，支持基于数字化诊断开展数字化改造提升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，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支持建设智能工厂，打造一批制造业数字化转型标杆。支持参与实施工业低碳行动和绿色制造工程，在落实碳达峰、碳中和目标中发挥示范引领作用。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第十九条</w:t>
      </w: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 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各级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工信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部门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应加强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省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单项冠军培育工作宣传推广，弘扬企业家精神和工匠精神，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统筹运用多种方式加强对企业典型事迹、经验做法的宣传报导，编制发布企业案例，宣传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打造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吉林省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“单项冠军”名片。</w:t>
      </w:r>
    </w:p>
    <w:p>
      <w:pPr>
        <w:pStyle w:val="9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Autospacing="0" w:after="157" w:afterAutospacing="0" w:line="420" w:lineRule="atLeast"/>
        <w:ind w:right="0"/>
        <w:jc w:val="center"/>
        <w:textAlignment w:val="auto"/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第五章 附则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第二十条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 本办法由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省工信厅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负责解释，根据实际情况，适时修订。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 xml:space="preserve">第二十一条  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本办法自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印发之日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起施行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right="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</w:pP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附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件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：1.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  <w:highlight w:val="auto"/>
        </w:rPr>
        <w:t xml:space="preserve"> 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吉林省</w:t>
      </w: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制造业单项冠军企业认定标准</w:t>
      </w:r>
    </w:p>
    <w:p>
      <w:pPr>
        <w:pStyle w:val="9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500" w:firstLine="160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t>部分指标和要求说明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right="0"/>
        <w:jc w:val="both"/>
        <w:rPr>
          <w:rFonts w:ascii="微软雅黑" w:eastAsia="微软雅黑" w:cs="微软雅黑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highlight w:val="auto"/>
        </w:rPr>
        <w:br w:type="page"/>
      </w:r>
      <w:r>
        <w:rPr>
          <w:rFonts w:ascii="黑体" w:eastAsia="黑体" w:cs="黑体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附</w:t>
      </w:r>
      <w:r>
        <w:rPr>
          <w:rFonts w:ascii="黑体" w:eastAsia="黑体" w:cs="黑体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件</w:t>
      </w:r>
      <w:r>
        <w:rPr>
          <w:rFonts w:ascii="黑体" w:eastAsia="黑体" w:cs="黑体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1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Autospacing="0" w:after="0" w:afterAutospacing="0"/>
        <w:ind w:left="0" w:right="0" w:firstLine="0"/>
        <w:jc w:val="center"/>
        <w:textAlignment w:val="auto"/>
        <w:rPr>
          <w:rFonts w:ascii="方正小标宋_GBK" w:eastAsia="方正小标宋_GBK" w:cs="方正小标宋_GBK" w:hint="eastAsia"/>
          <w:i w:val="0"/>
          <w:caps w:val="0"/>
          <w:smallCaps w:val="0"/>
          <w:color w:val="424242"/>
          <w:spacing w:val="0"/>
          <w:sz w:val="44"/>
          <w:szCs w:val="44"/>
          <w:highlight w:val="auto"/>
        </w:rPr>
      </w:pPr>
      <w:r>
        <w:rPr>
          <w:rFonts w:ascii="方正小标宋_GBK" w:eastAsia="方正小标宋_GBK" w:cs="方正小标宋_GBK" w:hint="eastAsia"/>
          <w:i w:val="0"/>
          <w:caps w:val="0"/>
          <w:smallCaps w:val="0"/>
          <w:color w:val="424242"/>
          <w:spacing w:val="0"/>
          <w:sz w:val="44"/>
          <w:szCs w:val="44"/>
          <w:lang w:eastAsia="zh-CN"/>
          <w:highlight w:val="auto"/>
        </w:rPr>
        <w:t>吉林省</w:t>
      </w:r>
      <w:r>
        <w:rPr>
          <w:rFonts w:ascii="方正小标宋_GBK" w:eastAsia="方正小标宋_GBK" w:cs="方正小标宋_GBK" w:hint="eastAsia"/>
          <w:i w:val="0"/>
          <w:caps w:val="0"/>
          <w:smallCaps w:val="0"/>
          <w:color w:val="424242"/>
          <w:spacing w:val="0"/>
          <w:sz w:val="44"/>
          <w:szCs w:val="44"/>
          <w:highlight w:val="auto"/>
        </w:rPr>
        <w:t>制造业单项冠军企业认定标准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省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制造业单项冠军企业认定，重点评估企业专业发展、市场竞争、自主创新、经营管理、地方特色等方面指标。</w:t>
      </w:r>
    </w:p>
    <w:p>
      <w:pPr>
        <w:pStyle w:val="9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right="0"/>
        <w:jc w:val="left"/>
        <w:textAlignment w:val="auto"/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  一、专业发展指标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  1.长期专注并深耕于制造业产业链某一环节或某一产品领域。截止上年末，从事相关领域达到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val="en-US" w:eastAsia="zh-CN"/>
          <w:highlight w:val="auto"/>
        </w:rPr>
        <w:t>7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年及以上，属于新产品的应达到3年及以上。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  2.企业发展稳中向好，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近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val="en-US" w:eastAsia="zh-CN"/>
          <w:highlight w:val="auto"/>
        </w:rPr>
        <w:t>3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年平均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主营业务收入达到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val="en-US" w:eastAsia="zh-CN"/>
          <w:highlight w:val="auto"/>
        </w:rPr>
        <w:t>2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亿元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及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以上。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  3.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工信部认定的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专精特新“小巨人”企业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、国务院国资委认定的创建世界一流专业领军示范企业，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优先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推荐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。</w:t>
      </w:r>
    </w:p>
    <w:p>
      <w:pPr>
        <w:pStyle w:val="9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right="0"/>
        <w:jc w:val="left"/>
        <w:textAlignment w:val="auto"/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  二、市场竞争指标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  1.申请产品（生产性服务）市场占有率居全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省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第一位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，且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市场占有率居全国前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val="en-US" w:eastAsia="zh-CN"/>
          <w:highlight w:val="auto"/>
        </w:rPr>
        <w:t>5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位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或全球前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val="en-US" w:eastAsia="zh-CN"/>
          <w:highlight w:val="auto"/>
        </w:rPr>
        <w:t>10位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。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  2.申请产品质量精良，生产技术或制造工艺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国际先进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，关键性能指标处于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国际或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国内同类产品领先水平，主导产品能耗达到行业能耗限额标准先进值。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Chars="200" w:firstLine="64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3.重视并实施国际化经营和品牌战略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，国际业务收入行业领先，具有全球资源配置能力。</w:t>
      </w:r>
    </w:p>
    <w:p>
      <w:pPr>
        <w:pStyle w:val="9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right="0" w:firstLineChars="200" w:firstLine="640"/>
        <w:jc w:val="left"/>
        <w:textAlignment w:val="auto"/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三、自主创新指标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  1.重视技术和产品创新，拥有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市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级以上研发机构，研发投入强度达到行业领先水平。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  2.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拥有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核心自主知识产权，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国际、国内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专利数量行业领先，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主导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或参与制定国际、国家和行业等标准。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  3.科技成果转化成效明显，相关知识产权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或发明专利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已实际应用并产生经济效益。</w:t>
      </w:r>
    </w:p>
    <w:p>
      <w:pPr>
        <w:pStyle w:val="9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right="0"/>
        <w:jc w:val="left"/>
        <w:textAlignment w:val="auto"/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  <w:highlight w:val="auto"/>
        </w:rPr>
        <w:t>  四、经营管理指标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  1.经营业绩稳健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向好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，主营业务收入或利润行业领先。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="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  2.管理体系系统完善，积极开展管理创新。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战略管理、运营管理、风险管理水平高，企业质量管理能力强。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="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  3.企业文化先进，企业家精神和工匠精神作用彰显。人才队伍结构合理，有省、市级人才计划入选者，积极参与校企合作人才培养载体建设。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黑体" w:eastAsia="黑体" w:cs="黑体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五、地方特色指标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1.申报产品符合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全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省产业导向，能充分开发利用特色资源禀赋。  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2.申报产品处于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全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省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重点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产业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链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的重要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节点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。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黑体" w:eastAsia="黑体" w:cs="黑体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</w:pPr>
      <w:r>
        <w:rPr>
          <w:rFonts w:ascii="黑体" w:eastAsia="黑体" w:cs="黑体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六、加分项指标</w:t>
      </w:r>
    </w:p>
    <w:p>
      <w:pPr>
        <w:pStyle w:val="9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/>
        <w:spacing w:before="0" w:beforeAutospacing="0" w:after="0" w:afterAutospacing="0" w:line="420" w:lineRule="atLeast"/>
        <w:ind w:left="0" w:right="0" w:firstLineChars="200" w:firstLine="640"/>
        <w:jc w:val="both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val="en-US" w:eastAsia="zh-CN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val="en-US" w:eastAsia="zh-CN"/>
          <w:highlight w:val="auto"/>
        </w:rPr>
        <w:t>1.参与国家重大创新平台建设，承担国家重大科技项目，入编《先进技术产品转化应用目录》及获得中国先进技术转化应用大赛奖项，主动服务构建国家科技创新体系，拥有国家级人才计划入选者。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Chars="200" w:firstLine="64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val="en-US" w:eastAsia="zh-CN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val="en-US" w:eastAsia="zh-CN"/>
          <w:highlight w:val="auto"/>
        </w:rPr>
        <w:t>2.参与制造业强链补链行动、“卡脖子”技术攻关项目、“科技产业金融一体化”专项，支持大国重器建设，锻长板、补短板、强基础，提高制造业国产化替代率。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Chars="200" w:firstLine="640"/>
        <w:jc w:val="both"/>
        <w:textAlignment w:val="auto"/>
        <w:rPr>
          <w:rFonts w:ascii="微软雅黑" w:eastAsia="微软雅黑" w:cs="微软雅黑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val="en-US" w:eastAsia="zh-CN"/>
          <w:highlight w:val="auto"/>
        </w:rPr>
        <w:t>3.扩大创新资源开放共享，带动产业链上下游、中小企业融通创新，共同发展。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br w:type="page"/>
      </w:r>
      <w:r>
        <w:rPr>
          <w:rFonts w:ascii="黑体" w:eastAsia="黑体" w:cs="黑体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附件</w:t>
      </w:r>
      <w:r>
        <w:rPr>
          <w:rFonts w:ascii="黑体" w:eastAsia="黑体" w:cs="黑体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2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Autospacing="0" w:after="157" w:afterAutospacing="0"/>
        <w:ind w:left="0" w:right="0" w:firstLine="0"/>
        <w:jc w:val="center"/>
        <w:textAlignment w:val="auto"/>
        <w:rPr>
          <w:rFonts w:ascii="方正小标宋_GBK" w:eastAsia="方正小标宋_GBK" w:cs="方正小标宋_GBK" w:hint="eastAsia"/>
          <w:i w:val="0"/>
          <w:caps w:val="0"/>
          <w:smallCaps w:val="0"/>
          <w:color w:val="424242"/>
          <w:spacing w:val="0"/>
          <w:sz w:val="44"/>
          <w:szCs w:val="44"/>
          <w:highlight w:val="auto"/>
        </w:rPr>
      </w:pPr>
      <w:r>
        <w:rPr>
          <w:rFonts w:ascii="方正小标宋_GBK" w:eastAsia="方正小标宋_GBK" w:cs="方正小标宋_GBK" w:hint="eastAsia"/>
          <w:i w:val="0"/>
          <w:caps w:val="0"/>
          <w:smallCaps w:val="0"/>
          <w:color w:val="424242"/>
          <w:spacing w:val="0"/>
          <w:sz w:val="44"/>
          <w:szCs w:val="44"/>
          <w:highlight w:val="auto"/>
        </w:rPr>
        <w:t>部分指标和要求说明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（一）指标中如对期限无特殊说明，一般使用企业近1年的年度数据，具体定义为：指企业上一完整会计年度，以企业上一年度审计报告期末数为准。对于存在子公司或母公司的企业，按财政部印发的《企业会计准则》有关规定执行。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（二）所称“重大安全（含网络安全、数据安全、安全保密），质量、环境污染等事故”是指产品安全、生产安全、工程质量安全、环境保护、网络安全等各级监管部门，依据《中华人民共和国安全生产法》《中华人民共和国环境保护法》《中华人民共和国网络安会法》《中华人民共和国数据安全法》《生产安全事故报告和调查处理条例》等法律法规，最高人民法院、最高人民检察院司法解释，部门规章以及地方法规等出具的判定意见。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  （三）所称专精特新“小巨人”企业，是指经工业和信息化部认定的专精特新“小巨人”企业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，须在有效期内。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  （四）所称“产品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（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生产性服务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）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市场占有率”，可通过企业自证或其他方式佐证。产品类别原则上按照 《统计用产品分类目录》8位或10位代码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界定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，生产性服务类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别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原则上按照《生产性服务业统计分类（2019）》中“小类”界定，难以准确归入的应符合行业普遍认可的惯例。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Chars="200" w:firstLine="64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val="en-US" w:eastAsia="zh-CN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val="en-US" w:eastAsia="zh-CN"/>
          <w:highlight w:val="auto"/>
        </w:rPr>
        <w:t>（五）所称“国际业务收入”，指企业在境外投资、国际工程承包、国际贸易等业务产生的营业收入。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/>
        <w:jc w:val="both"/>
        <w:textAlignment w:val="auto"/>
        <w:rPr>
          <w:rFonts w:ascii="仿宋_GB2312" w:eastAsia="仿宋_GB2312" w:cs="仿宋_GB2312"/>
          <w:i w:val="0"/>
          <w:caps w:val="0"/>
          <w:smallCaps w:val="0"/>
          <w:color w:val="424242"/>
          <w:spacing w:val="0"/>
          <w:sz w:val="32"/>
          <w:szCs w:val="32"/>
          <w:lang w:val="en-US" w:eastAsia="zh-CN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val="en-US" w:eastAsia="zh-CN"/>
          <w:highlight w:val="auto"/>
        </w:rPr>
        <w:t>（六）所称“全球资源配置能力”，指企业在全球范围内配置资本、技术、人才等各类要素资源的能力。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  （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七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）所称“科技成果转化成效”，指企业科技成果转化应用情况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，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以及科技创新收入占营业收入情况。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</w:pP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  （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八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）所称“被列入经营异常名录”以国家企业信用信息公示系统（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</w:rPr>
        <w:t>https://www.gsxt.gov.cn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）查询结果为准；所称“严重失信主体名单”以信用中国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（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http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</w:rPr>
        <w:t>s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://www.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val="en-US" w:eastAsia="zh-CN"/>
          <w:highlight w:val="auto"/>
        </w:rPr>
        <w:t>creditchina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.gov.cn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lang w:eastAsia="zh-CN"/>
          <w:highlight w:val="auto"/>
        </w:rPr>
        <w:t>）</w:t>
      </w:r>
      <w:r>
        <w:rPr>
          <w:rFonts w:ascii="仿宋_GB2312" w:eastAsia="仿宋_GB2312" w:cs="仿宋_GB2312" w:hint="eastAsia"/>
          <w:i w:val="0"/>
          <w:caps w:val="0"/>
          <w:smallCaps w:val="0"/>
          <w:color w:val="424242"/>
          <w:spacing w:val="0"/>
          <w:sz w:val="32"/>
          <w:szCs w:val="32"/>
          <w:highlight w:val="auto"/>
        </w:rPr>
        <w:t>查询结果为准。</w:t>
      </w: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ascii="Times New Roman" w:eastAsia="仿宋_GB2312" w:cs="Times New Roman" w:hAnsi="Times New Roman"/>
          <w:i w:val="0"/>
          <w:caps w:val="0"/>
          <w:smallCaps w:val="0"/>
          <w:color w:val="070707"/>
          <w:spacing w:val="0"/>
          <w:sz w:val="32"/>
          <w:szCs w:val="32"/>
          <w:lang w:val="en-US" w:eastAsia="zh-CN"/>
        </w:rPr>
      </w:pP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ascii="Times New Roman" w:eastAsia="仿宋_GB2312" w:cs="Times New Roman" w:hAnsi="Times New Roman"/>
          <w:i w:val="0"/>
          <w:caps w:val="0"/>
          <w:smallCaps w:val="0"/>
          <w:color w:val="070707"/>
          <w:spacing w:val="0"/>
          <w:sz w:val="32"/>
          <w:szCs w:val="32"/>
          <w:lang w:val="en-US" w:eastAsia="zh-CN"/>
        </w:rPr>
      </w:pP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ascii="Times New Roman" w:eastAsia="仿宋_GB2312" w:cs="Times New Roman" w:hAnsi="Times New Roman"/>
          <w:i w:val="0"/>
          <w:caps w:val="0"/>
          <w:smallCaps w:val="0"/>
          <w:color w:val="070707"/>
          <w:spacing w:val="0"/>
          <w:sz w:val="32"/>
          <w:szCs w:val="32"/>
          <w:lang w:val="en-US" w:eastAsia="zh-CN"/>
        </w:rPr>
      </w:pP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ascii="Times New Roman" w:eastAsia="仿宋_GB2312" w:cs="Times New Roman" w:hAnsi="Times New Roman"/>
          <w:i w:val="0"/>
          <w:caps w:val="0"/>
          <w:smallCaps w:val="0"/>
          <w:color w:val="070707"/>
          <w:spacing w:val="0"/>
          <w:sz w:val="32"/>
          <w:szCs w:val="32"/>
          <w:lang w:val="en-US" w:eastAsia="zh-CN"/>
        </w:rPr>
      </w:pP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ascii="Times New Roman" w:eastAsia="仿宋_GB2312" w:cs="Times New Roman" w:hAnsi="Times New Roman"/>
          <w:i w:val="0"/>
          <w:caps w:val="0"/>
          <w:smallCaps w:val="0"/>
          <w:color w:val="070707"/>
          <w:spacing w:val="0"/>
          <w:sz w:val="32"/>
          <w:szCs w:val="32"/>
          <w:lang w:val="en-US" w:eastAsia="zh-CN"/>
        </w:rPr>
      </w:pP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ascii="Times New Roman" w:eastAsia="仿宋_GB2312" w:cs="Times New Roman" w:hAnsi="Times New Roman"/>
          <w:i w:val="0"/>
          <w:caps w:val="0"/>
          <w:smallCaps w:val="0"/>
          <w:color w:val="070707"/>
          <w:spacing w:val="0"/>
          <w:sz w:val="32"/>
          <w:szCs w:val="32"/>
          <w:lang w:val="en-US" w:eastAsia="zh-CN"/>
        </w:rPr>
      </w:pP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ascii="Times New Roman" w:eastAsia="仿宋_GB2312" w:cs="Times New Roman" w:hAnsi="Times New Roman"/>
          <w:i w:val="0"/>
          <w:caps w:val="0"/>
          <w:smallCaps w:val="0"/>
          <w:color w:val="070707"/>
          <w:spacing w:val="0"/>
          <w:sz w:val="32"/>
          <w:szCs w:val="32"/>
          <w:lang w:val="en-US" w:eastAsia="zh-CN"/>
        </w:rPr>
      </w:pP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ascii="Times New Roman" w:eastAsia="仿宋_GB2312" w:cs="Times New Roman" w:hAnsi="Times New Roman"/>
          <w:i w:val="0"/>
          <w:caps w:val="0"/>
          <w:smallCaps w:val="0"/>
          <w:color w:val="070707"/>
          <w:spacing w:val="0"/>
          <w:sz w:val="32"/>
          <w:szCs w:val="32"/>
          <w:lang w:val="en-US" w:eastAsia="zh-CN"/>
        </w:rPr>
      </w:pP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ascii="Times New Roman" w:eastAsia="仿宋_GB2312" w:cs="Times New Roman" w:hAnsi="Times New Roman"/>
          <w:i w:val="0"/>
          <w:caps w:val="0"/>
          <w:smallCaps w:val="0"/>
          <w:color w:val="070707"/>
          <w:spacing w:val="0"/>
          <w:sz w:val="32"/>
          <w:szCs w:val="32"/>
          <w:lang w:val="en-US" w:eastAsia="zh-CN"/>
        </w:rPr>
      </w:pP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ascii="Times New Roman" w:eastAsia="仿宋_GB2312" w:cs="Times New Roman" w:hAnsi="Times New Roman"/>
          <w:i w:val="0"/>
          <w:caps w:val="0"/>
          <w:smallCaps w:val="0"/>
          <w:color w:val="070707"/>
          <w:spacing w:val="0"/>
          <w:sz w:val="32"/>
          <w:szCs w:val="32"/>
          <w:lang w:val="en-US" w:eastAsia="zh-CN"/>
        </w:rPr>
      </w:pPr>
    </w:p>
    <w:p>
      <w:pPr>
        <w:pStyle w:val="92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ascii="Times New Roman" w:eastAsia="仿宋_GB2312" w:cs="Times New Roman" w:hAnsi="Times New Roman"/>
          <w:i w:val="0"/>
          <w:caps w:val="0"/>
          <w:smallCaps w:val="0"/>
          <w:color w:val="070707"/>
          <w:spacing w:val="0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方正小标宋_GBK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仿宋_GB2312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ESI楷体-GB13000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5DEA8422"/>
    <w:multiLevelType w:val="singleLevel"/>
    <w:tmpl w:val="5DEA8422"/>
    <w:lvl w:ilvl="0">
      <w:start w:val="1"/>
      <w:numFmt w:val="chineseCounting"/>
      <w:lvlRestart w:val="0"/>
      <w:suff w:val="space"/>
      <w:lvlText w:val="第%1章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abstractNum w:abstractNumId="1">
    <w:nsid w:val="EEF7EC57"/>
    <w:multiLevelType w:val="singleLevel"/>
    <w:tmpl w:val="EEF7EC57"/>
    <w:lvl w:ilvl="0">
      <w:start w:val="2"/>
      <w:numFmt w:val="decimal"/>
      <w:lvlRestart w:val="0"/>
      <w:suff w:val="space"/>
      <w:lvlText w:val="%1."/>
      <w:lvlJc w:val="left"/>
      <w:pPr>
        <w:tabs>
          <w:tab w:val="num" w:pos="0"/>
        </w:tabs>
        <w:ind w:left="0" w:hanging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suppressAutoHyphens/>
      <w:bidi w:val="0"/>
      <w:jc w:val="both"/>
    </w:pPr>
    <w:rPr>
      <w:rFonts w:ascii="Calibri" w:eastAsia="宋体" w:cs="Times New Roman" w:hAnsi="Calibri"/>
      <w:color w:val="auto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character" w:styleId="87">
    <w:name w:val="Strong"/>
    <w:rPr>
      <w:b/>
    </w:rPr>
  </w:style>
  <w:style w:type="paragraph" w:styleId="92">
    <w:name w:val="Normal (Web)"/>
    <w:next w:val="21"/>
    <w:pPr>
      <w:widowControl w:val="0"/>
      <w:suppressAutoHyphens/>
      <w:bidi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color w:val="auto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11</Pages>
  <Words>4133</Words>
  <Characters>4166</Characters>
  <Lines>211</Lines>
  <Paragraphs>69</Paragraphs>
  <CharactersWithSpaces>4262</CharactersWithSpaces>
  <Company>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1</dc:creator>
  <cp:lastModifiedBy>1</cp:lastModifiedBy>
  <cp:revision>1</cp:revision>
  <dcterms:created xsi:type="dcterms:W3CDTF">2026-08-28T04:39:56Z</dcterms:created>
  <dcterms:modified xsi:type="dcterms:W3CDTF">2026-08-28T04:40:15Z</dcterms:modified>
</cp:coreProperties>
</file>