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202</w:t>
      </w:r>
      <w:r>
        <w:rPr>
          <w:rFonts w:ascii="黑体" w:eastAsia="黑体" w:cs="黑体"/>
          <w:sz w:val="32"/>
          <w:szCs w:val="32"/>
        </w:rPr>
        <w:t>5</w:t>
      </w:r>
      <w:r>
        <w:rPr>
          <w:rFonts w:ascii="黑体" w:eastAsia="黑体"/>
          <w:sz w:val="32"/>
          <w:szCs w:val="32"/>
        </w:rPr>
        <w:t>年度吉林省工业节能监察结果</w:t>
      </w:r>
    </w:p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表1 国家专项工业节能监察任务名单及结果</w:t>
      </w:r>
    </w:p>
    <w:tbl>
      <w:tblPr>
        <w:jc w:val="left"/>
        <w:tblInd w:w="93" w:type="dxa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50"/>
        <w:gridCol w:w="2640"/>
        <w:gridCol w:w="1800"/>
        <w:gridCol w:w="1995"/>
      </w:tblGrid>
      <w:tr>
        <w:trPr>
          <w:trHeight w:val="63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监察类别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行业（领域）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吉林建龙钢铁有限责任公司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磐石建龙钢铁有限公司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吉林金钢钢铁股份有限公司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通化钢铁股份有限公司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白城市富达棒材轧制有限公司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吉林省新大石油化工有限公司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长春新大石油集团农安石油化工有限公司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中国石油天然气股份有限公司吉林石化分公司炼油厂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炼化（炼油）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中国石油天然气股份有限公司吉林石化分公司化肥厂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炼化（苯乙烯）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中国石油天然气股份有限公司吉林石化分公司乙烯厂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炼化（乙烯）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吉林鼎运新能源股份有限公司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吉林亚泰水泥有限公司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吉林亚泰鼎鹿水泥有限公司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榆树北方水泥有限公司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长春市四通水泥有限公司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吉林省长春新兴水泥厂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农安北方水泥有限公司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德惠北方水泥有限责任公司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公主岭市尖山水泥有限公司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吉林金隅冀东环保科技有限公司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吉林亚泰明城水泥有限公司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冀东水泥磐石有限责任公司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桦甸市松源水泥有限公司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蛟河金刚水泥有限公司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舒兰市亚泰水泥有限责任公司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永吉县大明水泥有限公司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吉林市松江建材集团有限公司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吉林亚泰龙潭水泥有限公司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吉林省天茂水泥集团有限公司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亚泰集团伊通水泥有限公司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辽源市金刚水泥厂东丰分厂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亚泰集团通化水泥股份有限公司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通化市三为企业有限责任公司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吉林省园山水泥有限公司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通化天力水泥制造有限公司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白山北方水泥有限公司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白山山水水泥有限责任公司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白山市苇塘水泥有限责任公司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松原北方水泥有限公司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冀东水泥扶余有限公司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白城北方水泥有限公司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汪清北方水泥有限公司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汪清北方水泥有限公司敦化分公司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汪清北方水泥有限公司和龙分公司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亚泰集团图们水泥有限公司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珲春市顺峰水泥制造有限公司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中国移动通信集团吉林有限公司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数据中心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中国电信集团有限公司吉林分公司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数据中心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中国石油天然气股份有限公司吉林石化数据中心分公司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数据中心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吉林吉钢钢铁集团福钢金属制造有限公司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吉林吉钢钢铁集团泰华冶金设备制造有限公司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公主岭市万禄水泥制造有限公司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吉林市吉纤水泥有限公司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辽源市金刚水泥厂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白山北华水泥有限公司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吉林省鸿升水泥有限责任公司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抚松银丰水泥有限责任公司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吉林省天禹水泥有限责任公司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吉林省新天成水泥有限公司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重点行业领域能效专项监察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镇赉县天利水泥有限公司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康乃尔化学工业股份有限公司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合成氨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中化吉林长山化工有限公司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合成氨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年违规整改落实情况专项监察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吉林市吉化北方云雀工贸有限责任公司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移送发改委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长春华润液化天然气有限公司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青上化工（吉林）有限公司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吉林昌晟焦化有限公司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炼化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吉林鑫达钢铁有限公司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中国联合网络通信有限公司吉林省分公司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数据中心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表2 省专项工业节能监察任务名单及结果</w:t>
      </w:r>
    </w:p>
    <w:tbl>
      <w:tblPr>
        <w:jc w:val="left"/>
        <w:tblInd w:w="-159" w:type="dxa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10"/>
        <w:gridCol w:w="2610"/>
        <w:gridCol w:w="1695"/>
        <w:gridCol w:w="2565"/>
      </w:tblGrid>
      <w:tr>
        <w:trPr>
          <w:trHeight w:val="7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专项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行业（领域）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亚泰鼎鹿水泥有限公司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榆树北方水泥有限公司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长春市四通水泥有限公司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吉林省长春新兴水泥厂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农安北方水泥有限公司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德惠北方水泥有限责任公司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公主岭市尖山水泥有限公司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吉林亚泰水泥有限公司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吉林金隅冀东环保科技有限公司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吉林亚泰明城水泥有限公司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冀东水泥磐石有限责任公司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桦甸市松源水泥有限公司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蛟河金刚水泥有限公司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舒兰市亚泰水泥有限责任公司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永吉县大明水泥有限公司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吉林市松江建材集团有限公司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吉林亚泰龙潭水泥有限公司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吉林省天茂水泥集团有限公司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亚泰集团伊通水泥有限公司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辽源北方水泥有限公司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辽源市金刚水泥厂东丰分厂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亚泰集团通化水泥股份有限公司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通化市三为企业有限责任公司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吉林省园山水泥有限公司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通化天力水泥制造有限公司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白山北方水泥有限公司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白山山水水泥有限责任公司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白山市苇塘水泥有限责任公司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靖宇亚泰泉润建材有限公司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松原北方水泥有限公司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冀东水泥扶余有限公司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白城北方水泥有限公司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汪清北方水泥有限公司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汪清北方水泥有限公司敦化分公司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汪清北方水泥有限公司和龙分公司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亚泰集团图们水泥有限公司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珲春市顺峰水泥制造有限公司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吉林金钢钢铁股份有限公司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吉林鑫达钢铁有限公司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通化钢铁股份有限公司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白城市富达棒材轧制有限公司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吉林鼎运新能源股份有限公司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焦化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吉林省万禄水泥制品有限公司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吉林市吉纤水泥有限公司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辽源市金刚水泥厂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白山北华水泥有限公司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吉林省鸿升水泥有限责任公司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抚松银丰水泥有限责任公司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吉林省新天成水泥有限公司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镇赉县天利水泥有限公司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吉林吉钢钢铁集团福钢金属制造有限公司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吉林吉钢钢铁集团泰华冶金设备制造有限公司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钢铁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日常工业节能监察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吉林天池钼业有限公司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有色金属冶炼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大唐辽源发电分公司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4"/>
                <w:kern w:val="0"/>
                <w:sz w:val="24"/>
              </w:rPr>
              <w:t>热电联产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厚德食品股份有限公司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蛋品深加工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吉林金翼蛋品有限公司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蛋品深加工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辽源矿业(集团)有限责任公司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煤炭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格致汽车科技股份有限公司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吉林利源精制股份有限公司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吉林巨晟轻合金有限责任公司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有色金属冶炼和压延加工业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辽源市热力集团有限公司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电力、热力生产和供应业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嘉利达（辽源）明胶有限公司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化学原料和化学制品制造业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吉林省东北袜业园热力有限公司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电力、热力生产和供应业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日常工业节能监察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辽源鸿图锂电隔膜科技股份有限公司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橡胶和塑料制品业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富奥鑫创新能源电池有限公司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汽车制造业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辽源市亿达碳业有限公司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非金属矿物制品业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东丰县华粮生化有限公司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酒、饮料和精制茶制造业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蜀中药业吉林有限公司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东丰县宏宇供热有限公司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电力、热力生产和供应业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东丰县天星热力有限公司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电力、热力生产和供应业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富奥东臻精铸有限公司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汽车零部件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辽源誉隆亚东药业有限责任公司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吉化辽源化工有限责任公司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橡胶和塑料制品业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日常工业节能监察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辽源市银鹰制药有限责任公司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辽源市欧蒂爱袜业有限责任公司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纺织业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迪康药业有限公司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吉林中聚新能源科技有限公司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电气机械和器材制造业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白山热电有限责任公司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电力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通化钢铁集团板石矿业有限责任公司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冶炼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日常工业节能监察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飞鹤（吉林）乳品有限公司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食品制造业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吉林省昊安新能源科技有限责任公司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罗赛洛（大安）明胶有限公司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医药化工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中材科技（白城）风电叶片有限公司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吉林梅花氨基酸有限责任公司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农产品加工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百威（延吉）啤酒有限公司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啤酒制造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吉林紫金铜业有限公司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铜冶炼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梅河口冠林土特产品有限公司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食品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东丰县畅通混凝土有限公司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非金属矿物制品业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吉林农信机械制造有限公司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日常工业节能监察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吉林启星铝业有限公司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辽源市百康药业有限责任公司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辽源方大锻造有限公司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专用设备制造业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辽源市钢背轴承有限责任公司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汽车制造业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吉林省鑫辉药业有限公司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吉林省博大制药股份有限公司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中国黄金集团夹皮沟矿业有限公司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有色金属冶炼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年违规整改落实专项监察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中鼎(吉林)智能制造工程有限公司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电气安装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吉林省鼎恒建材有限公司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五金制造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研奥电气股份有限公司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装备制造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  <w:tr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吉林省博大伟业制药有限公司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完成整改</w:t>
            </w:r>
          </w:p>
        </w:tc>
      </w:tr>
    </w:tbl>
    <w:p>
      <w:pPr>
        <w:rPr>
          <w:rFonts w:ascii="方正小标宋_GBK" w:eastAsia="方正小标宋_GBK" w:cs="方正小标宋_GBK"/>
          <w:sz w:val="36"/>
          <w:szCs w:val="36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表3“双随机、一公开”节能监察任务名单及结果</w:t>
      </w:r>
    </w:p>
    <w:tbl>
      <w:tblPr>
        <w:jc w:val="left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95"/>
        <w:gridCol w:w="1665"/>
        <w:gridCol w:w="2135"/>
      </w:tblGrid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行业（领域）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吉林建龙钢铁有限责任公司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桦甸市松源水泥有限公司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吉林金隅冀东环保科技有限公司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吉林金钢钢铁股份有限公司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钢铁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通化天力水泥制造有限公司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百威（延吉）啤酒有限公司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啤酒制造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飞鹤（吉林）乳品有限公司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食品制造业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吉林梅花氨基酸有限责任公司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农产品加工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梅河口冠林土特产品有限公司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食品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白山山水水泥有限责任公司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吉林亚泰水泥有限公司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锦湖轮胎(长春)有限公司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轮胎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吉林玲珑轮胎有限公司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轮胎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磐石建龙钢铁有限公司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钢铁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吉林市东昇模具制造有限公司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制造业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吉林晨鸣纸业有限责任公司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造纸和纸制品业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磐石铸诚无缝钢管有限公司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钢压延加工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吉林国兴碳纤维有限公司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制造业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吉林金钢钢铁股份有限公司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钢铁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吉林省天茂水泥集团有限公司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亚泰集团伊通水泥有限公司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吉林鑫达钢铁有限公司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钢铁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嘉利达（辽源）明胶有限公司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化学原料和化学制品制造业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松原北方水泥有限公司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冀东水泥扶余有限公司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汪清北方水泥有限公司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未发现问题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公主岭市万禄水泥制造有限公司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水泥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未生产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吉林市吉化北方云雀工贸有限责任公司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石化化工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移送发改委</w:t>
            </w:r>
          </w:p>
        </w:tc>
      </w:tr>
      <w:tr>
        <w:trPr>
          <w:trHeight w:val="5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中化吉林长山化工有限公司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石化化工行业（化肥-合成氨）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下达《限期整改通知书》</w:t>
            </w:r>
          </w:p>
        </w:tc>
      </w:tr>
    </w:tbl>
    <w:p>
      <w:pPr>
        <w:rPr>
          <w:rFonts w:ascii="方正小标宋_GBK" w:eastAsia="方正小标宋_GBK" w:cs="方正小标宋_GBK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28"/>
        </w:rPr>
      </w:pPr>
    </w:p>
    <w:sectPr>
      <w:pgSz w:w="11906" w:h="16838"/>
      <w:pgMar w:top="1531" w:right="1531" w:bottom="1418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Microsoft YaHei UI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pPr>
      <w:autoSpaceDE w:val="0"/>
      <w:autoSpaceDN w:val="0"/>
      <w:jc w:val="left"/>
    </w:pPr>
    <w:rPr>
      <w:rFonts w:ascii="仿宋_GB2312" w:eastAsia="仿宋_GB2312" w:cs="仿宋_GB2312"/>
      <w:kern w:val="0"/>
      <w:sz w:val="32"/>
      <w:szCs w:val="32"/>
      <w:lang w:val="zh-CN" w:bidi="zh-CN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12</Pages>
  <Words>4607</Words>
  <Characters>4788</Characters>
  <Lines>1055</Lines>
  <Paragraphs>829</Paragraphs>
  <CharactersWithSpaces>4788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</dc:creator>
  <cp:lastModifiedBy>1</cp:lastModifiedBy>
  <cp:revision>11</cp:revision>
  <cp:lastPrinted>2025-12-11T10:34:38Z</cp:lastPrinted>
  <dcterms:created xsi:type="dcterms:W3CDTF">2023-12-13T09:47:00Z</dcterms:created>
  <dcterms:modified xsi:type="dcterms:W3CDTF">2025-12-11T06:49:27Z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2052-11.8.2.9980</vt:lpwstr>
  </property>
</Properties>
</file>