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  <w:t>项目公示名单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企业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组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一等奖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助力解决半导体“卡脖子”工程――PEEK晶圆盒复合材料开发项目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快照式光谱成像系统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二等奖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超精密磁流变抛光设备的研发及产业化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原子钟专用半导体激光器芯片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面向高端应用的金属基光学系统全链路制造技术及产业化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三等奖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万米深海广角度照明系统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基于5G+工业互联网的制造业数字化运营管理平台应用方案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高端多用途金属粉体材料（通化市）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创客组项目</w:t>
      </w: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一等奖</w:t>
      </w:r>
    </w:p>
    <w:p>
      <w:pPr>
        <w:jc w:val="center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基于锂电池产业链-石墨烯导电剂的产业化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基于3D生物打印技术建立肿瘤药物筛选及精准化治疗平台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二等奖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晰晰传统媒体、新媒体、电商项目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内储物红外线智能检测的解决方案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智能生态环境监测机器人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default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三等奖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采销平台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新型番茄秧提取素特效驱蚊产品（吉林市）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菲科智测-汽车齿轮智能检测专家</w:t>
      </w:r>
      <w:r>
        <w:rPr>
          <w:rFonts w:hint="eastAsia"/>
          <w:sz w:val="28"/>
          <w:szCs w:val="36"/>
          <w:lang w:val="en-US" w:eastAsia="zh-CN"/>
        </w:rPr>
        <w:t>（长春市）</w:t>
      </w: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3"/>
        <w:tblW w:w="8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295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优胜奖项目名单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可换电极式抗生素降解仪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基于多传感器卧姿识别的智能助老床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人胃癌免疫组化试剂盒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尿路通-新型智能响应型抗菌导尿管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血溶于“盒”-遗传性球形红细胞增多症检测试剂盒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基于CNN-LSTM模型的光伏集群功率预测及其应用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短视频综合变现工厂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翼航飞行控制系统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赵殿君draw show成图软件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绿巨人乳胶漆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吉碳科技-以pvc、pvdc为碳源的多孔碳材料转化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秸秆深施还田机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以太铖翼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博创团队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精控密封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病理性反流性胃蛋白酶检测试剂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综合金融服务平台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《数据处理生产线》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大数据疫情管理系统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“健康尺儿童青少年“成长电子档案”AI解决方案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双目全景显示系统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工业机器人运行程序标准检查系统的研发与应用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刹车系统温度监测报警器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高能量动力电池数字智造解决方案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蒲苹无抗饲料添加剂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纤维非织物/改性聚乙烯防水材料的研究与产业化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高性能环保木塑复合材料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半导体多晶硅炉腈纶基碳纤维复合毡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汽车用轻质碳纤维传动轴制备技术开发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迈克赛德全自动尿液检测流水线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10A5"/>
    <w:rsid w:val="06F510A5"/>
    <w:rsid w:val="18D641BF"/>
    <w:rsid w:val="27D40C09"/>
    <w:rsid w:val="3EE219BD"/>
    <w:rsid w:val="48AB0B6C"/>
    <w:rsid w:val="4A3542EC"/>
    <w:rsid w:val="5DC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2021-08-05T05:36:00Z</dcterms:created>
  <dc:creator>WPS_1503887425</dc:creator>
  <cp:lastModifiedBy>WPS_1503887425</cp:lastModifiedBy>
  <cp:lastPrinted>2021-08-05T05:51:00Z</cp:lastPrinted>
  <dcterms:modified xsi:type="dcterms:W3CDTF">2021-09-16T09:13:10Z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AC472FED20824E9EA63C92952E66855D</vt:lpwstr>
  </property>
</Properties>
</file>